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063D6" w14:textId="77777777" w:rsidR="002B6FFC" w:rsidRPr="008B481B" w:rsidRDefault="002B6FFC" w:rsidP="002B6FFC">
      <w:pPr>
        <w:spacing w:before="120"/>
        <w:ind w:firstLine="709"/>
        <w:jc w:val="center"/>
        <w:rPr>
          <w:b/>
        </w:rPr>
      </w:pPr>
    </w:p>
    <w:p w14:paraId="5E52D983" w14:textId="77777777" w:rsidR="00325808" w:rsidRPr="008B481B" w:rsidRDefault="00325808" w:rsidP="00325808">
      <w:pPr>
        <w:rPr>
          <w:rFonts w:ascii="Calibri" w:hAnsi="Calibri"/>
          <w:color w:val="000000"/>
          <w:sz w:val="20"/>
          <w:szCs w:val="20"/>
        </w:rPr>
      </w:pPr>
    </w:p>
    <w:p w14:paraId="2B6F6F73" w14:textId="77777777" w:rsidR="00325808" w:rsidRPr="008B481B" w:rsidRDefault="00325808" w:rsidP="00325808">
      <w:pPr>
        <w:jc w:val="center"/>
        <w:rPr>
          <w:rFonts w:ascii="Calibri" w:hAnsi="Calibri" w:cs="Arial"/>
          <w:b/>
          <w:color w:val="000000"/>
          <w:sz w:val="20"/>
          <w:szCs w:val="20"/>
        </w:rPr>
      </w:pPr>
      <w:r w:rsidRPr="008B481B">
        <w:rPr>
          <w:rFonts w:ascii="Calibri" w:hAnsi="Calibri" w:cs="Arial"/>
          <w:b/>
          <w:color w:val="000000"/>
          <w:sz w:val="20"/>
          <w:szCs w:val="20"/>
        </w:rPr>
        <w:t>SPECYFIKACJA WYCENY PRZEDMIOTU ZAMÓWIENIA</w:t>
      </w:r>
    </w:p>
    <w:p w14:paraId="6D136817" w14:textId="77777777" w:rsidR="00325808" w:rsidRPr="008B481B" w:rsidRDefault="00325808" w:rsidP="00325808">
      <w:pPr>
        <w:jc w:val="center"/>
        <w:rPr>
          <w:rFonts w:ascii="Calibri" w:hAnsi="Calibri" w:cs="Arial"/>
          <w:b/>
          <w:color w:val="000000"/>
          <w:sz w:val="20"/>
          <w:szCs w:val="20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7174"/>
      </w:tblGrid>
      <w:tr w:rsidR="00325808" w:rsidRPr="008B481B" w14:paraId="6EE4D025" w14:textId="77777777" w:rsidTr="00CB6903">
        <w:trPr>
          <w:trHeight w:val="433"/>
        </w:trPr>
        <w:tc>
          <w:tcPr>
            <w:tcW w:w="1009" w:type="pct"/>
            <w:vAlign w:val="center"/>
          </w:tcPr>
          <w:p w14:paraId="1C8D27FA" w14:textId="77777777" w:rsidR="00325808" w:rsidRPr="008B481B" w:rsidRDefault="00325808" w:rsidP="00CB6903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8B481B">
              <w:rPr>
                <w:rFonts w:ascii="Calibri" w:hAnsi="Calibri" w:cs="Tahoma"/>
                <w:color w:val="000000"/>
                <w:sz w:val="20"/>
                <w:szCs w:val="20"/>
              </w:rPr>
              <w:t>Zamawiający</w:t>
            </w:r>
          </w:p>
        </w:tc>
        <w:tc>
          <w:tcPr>
            <w:tcW w:w="3991" w:type="pct"/>
          </w:tcPr>
          <w:p w14:paraId="6E4371C4" w14:textId="77777777" w:rsidR="00325808" w:rsidRPr="008B481B" w:rsidRDefault="00325808" w:rsidP="00CB6903">
            <w:pPr>
              <w:jc w:val="both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8B481B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Instytut Transportu Samochodowego</w:t>
            </w:r>
          </w:p>
          <w:p w14:paraId="2C706524" w14:textId="77777777" w:rsidR="00325808" w:rsidRPr="008B481B" w:rsidRDefault="00325808" w:rsidP="00CB6903">
            <w:pPr>
              <w:jc w:val="both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8B481B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03-301  Warszawa, ul. Jagiellońska 80</w:t>
            </w:r>
          </w:p>
        </w:tc>
      </w:tr>
      <w:tr w:rsidR="00325808" w:rsidRPr="008B481B" w14:paraId="017275A4" w14:textId="77777777" w:rsidTr="00CB6903">
        <w:tc>
          <w:tcPr>
            <w:tcW w:w="1009" w:type="pct"/>
            <w:vAlign w:val="center"/>
          </w:tcPr>
          <w:p w14:paraId="5B1212E0" w14:textId="77777777" w:rsidR="00325808" w:rsidRPr="008B481B" w:rsidRDefault="00325808" w:rsidP="00CB6903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  <w:p w14:paraId="5F6B09E5" w14:textId="77777777" w:rsidR="00325808" w:rsidRPr="008B481B" w:rsidRDefault="00325808" w:rsidP="00CB6903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8B481B">
              <w:rPr>
                <w:rFonts w:ascii="Calibri" w:hAnsi="Calibri" w:cs="Tahoma"/>
                <w:color w:val="000000"/>
                <w:sz w:val="20"/>
                <w:szCs w:val="20"/>
              </w:rPr>
              <w:t>Przedmiot zamówienia</w:t>
            </w:r>
          </w:p>
          <w:p w14:paraId="28676CF6" w14:textId="77777777" w:rsidR="00325808" w:rsidRPr="008B481B" w:rsidRDefault="00325808" w:rsidP="00CB6903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3991" w:type="pct"/>
            <w:vAlign w:val="center"/>
          </w:tcPr>
          <w:p w14:paraId="22CBD9E2" w14:textId="77777777" w:rsidR="00325808" w:rsidRPr="008B481B" w:rsidRDefault="004F301D" w:rsidP="00FE373C">
            <w:pPr>
              <w:ind w:left="13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B481B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Dostawa </w:t>
            </w:r>
            <w:r w:rsidR="00D469DB" w:rsidRPr="008B481B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oraz montaż </w:t>
            </w:r>
            <w:r w:rsidRPr="008B481B">
              <w:rPr>
                <w:rFonts w:ascii="Calibri" w:hAnsi="Calibri"/>
                <w:b/>
                <w:color w:val="000000"/>
                <w:sz w:val="20"/>
                <w:szCs w:val="20"/>
              </w:rPr>
              <w:t>systemu wizualizacyjnego</w:t>
            </w:r>
            <w:r w:rsidR="00D469DB" w:rsidRPr="008B481B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symulatora </w:t>
            </w:r>
            <w:r w:rsidR="0027252B" w:rsidRPr="008B481B">
              <w:rPr>
                <w:rFonts w:ascii="Calibri" w:hAnsi="Calibri"/>
                <w:b/>
                <w:color w:val="000000"/>
                <w:sz w:val="20"/>
                <w:szCs w:val="20"/>
              </w:rPr>
              <w:t>jazdy</w:t>
            </w:r>
            <w:r w:rsidRPr="008B481B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325808" w:rsidRPr="008B481B" w14:paraId="6D0BF2A3" w14:textId="77777777" w:rsidTr="00CB6903">
        <w:trPr>
          <w:trHeight w:val="944"/>
        </w:trPr>
        <w:tc>
          <w:tcPr>
            <w:tcW w:w="1009" w:type="pct"/>
            <w:tcBorders>
              <w:top w:val="double" w:sz="4" w:space="0" w:color="auto"/>
            </w:tcBorders>
            <w:vAlign w:val="center"/>
          </w:tcPr>
          <w:p w14:paraId="1F17D372" w14:textId="77777777" w:rsidR="00325808" w:rsidRPr="008B481B" w:rsidRDefault="00325808" w:rsidP="001C2878">
            <w:pPr>
              <w:spacing w:after="240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  <w:p w14:paraId="70177F19" w14:textId="77777777" w:rsidR="00325808" w:rsidRPr="008B481B" w:rsidRDefault="00325808" w:rsidP="001C2878">
            <w:pPr>
              <w:spacing w:after="240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8B481B">
              <w:rPr>
                <w:rFonts w:ascii="Calibri" w:hAnsi="Calibri" w:cs="Tahoma"/>
                <w:color w:val="000000"/>
                <w:sz w:val="20"/>
                <w:szCs w:val="20"/>
              </w:rPr>
              <w:t>Opis zamówienia</w:t>
            </w:r>
          </w:p>
          <w:p w14:paraId="5073E0BF" w14:textId="77777777" w:rsidR="00325808" w:rsidRPr="008B481B" w:rsidRDefault="00325808" w:rsidP="001C2878">
            <w:pPr>
              <w:spacing w:after="240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3991" w:type="pct"/>
            <w:tcBorders>
              <w:top w:val="double" w:sz="4" w:space="0" w:color="auto"/>
            </w:tcBorders>
          </w:tcPr>
          <w:p w14:paraId="60402455" w14:textId="77777777" w:rsidR="001C2878" w:rsidRPr="001C2878" w:rsidRDefault="001C2878" w:rsidP="001C2878">
            <w:pPr>
              <w:pStyle w:val="Zwykytekst"/>
              <w:spacing w:after="200"/>
              <w:rPr>
                <w:rFonts w:asciiTheme="minorHAnsi" w:hAnsiTheme="minorHAnsi" w:cstheme="minorHAnsi"/>
                <w:szCs w:val="22"/>
              </w:rPr>
            </w:pPr>
            <w:r w:rsidRPr="001C2878">
              <w:rPr>
                <w:rFonts w:asciiTheme="minorHAnsi" w:hAnsiTheme="minorHAnsi" w:cstheme="minorHAnsi"/>
                <w:szCs w:val="22"/>
              </w:rPr>
              <w:t>Przedmiotem zamówienia jest dostawa oraz montaż systemu wizualizacyjnego symulatora jazdy.</w:t>
            </w:r>
          </w:p>
          <w:p w14:paraId="5D1B63B0" w14:textId="4E505D2F" w:rsidR="001C2878" w:rsidRPr="001C2878" w:rsidRDefault="001C2878" w:rsidP="001C2878">
            <w:pPr>
              <w:pStyle w:val="Zwykytekst"/>
              <w:spacing w:after="200"/>
              <w:rPr>
                <w:rFonts w:asciiTheme="minorHAnsi" w:hAnsiTheme="minorHAnsi" w:cstheme="minorHAnsi"/>
                <w:szCs w:val="22"/>
              </w:rPr>
            </w:pPr>
            <w:r w:rsidRPr="001C2878">
              <w:rPr>
                <w:rFonts w:asciiTheme="minorHAnsi" w:hAnsiTheme="minorHAnsi" w:cstheme="minorHAnsi"/>
                <w:szCs w:val="22"/>
              </w:rPr>
              <w:t>System powinien spełniać następujące wymagania:</w:t>
            </w:r>
          </w:p>
          <w:p w14:paraId="6B456CDF" w14:textId="0708850D" w:rsidR="001C2878" w:rsidRPr="001C2878" w:rsidRDefault="001C2878" w:rsidP="001C2878">
            <w:pPr>
              <w:pStyle w:val="Zwykytekst"/>
              <w:numPr>
                <w:ilvl w:val="0"/>
                <w:numId w:val="11"/>
              </w:numPr>
              <w:spacing w:after="200"/>
              <w:rPr>
                <w:rFonts w:asciiTheme="minorHAnsi" w:hAnsiTheme="minorHAnsi" w:cstheme="minorHAnsi"/>
                <w:szCs w:val="22"/>
              </w:rPr>
            </w:pPr>
            <w:r w:rsidRPr="001C2878">
              <w:rPr>
                <w:rFonts w:asciiTheme="minorHAnsi" w:hAnsiTheme="minorHAnsi" w:cstheme="minorHAnsi"/>
                <w:szCs w:val="22"/>
              </w:rPr>
              <w:t>Rzutowanie obrazu odbywa się na</w:t>
            </w:r>
            <w:r w:rsidR="005A2033">
              <w:rPr>
                <w:rFonts w:asciiTheme="minorHAnsi" w:hAnsiTheme="minorHAnsi" w:cstheme="minorHAnsi"/>
                <w:szCs w:val="22"/>
              </w:rPr>
              <w:t xml:space="preserve"> cylindryczny</w:t>
            </w:r>
            <w:r w:rsidRPr="001C2878">
              <w:rPr>
                <w:rFonts w:asciiTheme="minorHAnsi" w:hAnsiTheme="minorHAnsi" w:cstheme="minorHAnsi"/>
                <w:szCs w:val="22"/>
              </w:rPr>
              <w:t xml:space="preserve"> ekran projekcyjny symulatora jazdy o wysokości 300cm i promieniu 300cm, obejmujący kąt widzenia około 200 stopni w </w:t>
            </w:r>
            <w:r w:rsidR="005A2033">
              <w:rPr>
                <w:rFonts w:asciiTheme="minorHAnsi" w:hAnsiTheme="minorHAnsi" w:cstheme="minorHAnsi"/>
                <w:szCs w:val="22"/>
              </w:rPr>
              <w:t>poziomie</w:t>
            </w:r>
            <w:r w:rsidRPr="001C2878">
              <w:rPr>
                <w:rFonts w:asciiTheme="minorHAnsi" w:hAnsiTheme="minorHAnsi" w:cstheme="minorHAnsi"/>
                <w:szCs w:val="22"/>
              </w:rPr>
              <w:t>;</w:t>
            </w:r>
          </w:p>
          <w:p w14:paraId="20D7AF7A" w14:textId="77777777" w:rsidR="001C2878" w:rsidRPr="001C2878" w:rsidRDefault="001C2878" w:rsidP="001C2878">
            <w:pPr>
              <w:pStyle w:val="Zwykytekst"/>
              <w:numPr>
                <w:ilvl w:val="0"/>
                <w:numId w:val="11"/>
              </w:numPr>
              <w:spacing w:after="200"/>
              <w:rPr>
                <w:rFonts w:asciiTheme="minorHAnsi" w:hAnsiTheme="minorHAnsi" w:cstheme="minorHAnsi"/>
                <w:szCs w:val="22"/>
              </w:rPr>
            </w:pPr>
            <w:r w:rsidRPr="001C2878">
              <w:rPr>
                <w:rFonts w:asciiTheme="minorHAnsi" w:hAnsiTheme="minorHAnsi" w:cstheme="minorHAnsi"/>
                <w:szCs w:val="22"/>
              </w:rPr>
              <w:t>Montaż powinien zapewnić rzutowanie z trzech projektorów równomiernie i symetrycznie dzielących ekran z punktu widzenia roboczej pozycji kierowcy symulatora, która jest przesunięta w lewo względem środka ekranu, zatem obraz rzutowany na lewą stronę ekranu będzie pokrywał mniejszą powierzchnię niż obraz środkowy, a prawy - większą;</w:t>
            </w:r>
          </w:p>
          <w:p w14:paraId="369D1C8C" w14:textId="1CB3F53C" w:rsidR="001C2878" w:rsidRPr="001C2878" w:rsidRDefault="001C2878" w:rsidP="001C2878">
            <w:pPr>
              <w:pStyle w:val="Zwykytekst"/>
              <w:numPr>
                <w:ilvl w:val="0"/>
                <w:numId w:val="11"/>
              </w:numPr>
              <w:spacing w:after="200"/>
              <w:rPr>
                <w:rFonts w:asciiTheme="minorHAnsi" w:hAnsiTheme="minorHAnsi" w:cstheme="minorHAnsi"/>
                <w:szCs w:val="22"/>
              </w:rPr>
            </w:pPr>
            <w:r w:rsidRPr="001C2878">
              <w:rPr>
                <w:rFonts w:asciiTheme="minorHAnsi" w:hAnsiTheme="minorHAnsi" w:cstheme="minorHAnsi"/>
                <w:szCs w:val="22"/>
              </w:rPr>
              <w:t>Rzutowanie obrazu odbywa się tak, że linie pionowe obrazu są odwzorowane pionowo na ekran bez wykorzystywania programowej korekcji geometrycznej. W tym celu zakłada się wykorzystanie korekcji optycznej ("</w:t>
            </w:r>
            <w:proofErr w:type="spellStart"/>
            <w:r w:rsidRPr="001C2878">
              <w:rPr>
                <w:rFonts w:asciiTheme="minorHAnsi" w:hAnsiTheme="minorHAnsi" w:cstheme="minorHAnsi"/>
                <w:szCs w:val="22"/>
              </w:rPr>
              <w:t>vertical</w:t>
            </w:r>
            <w:proofErr w:type="spellEnd"/>
            <w:r w:rsidRPr="001C2878">
              <w:rPr>
                <w:rFonts w:asciiTheme="minorHAnsi" w:hAnsiTheme="minorHAnsi" w:cstheme="minorHAnsi"/>
                <w:szCs w:val="22"/>
              </w:rPr>
              <w:t xml:space="preserve"> offset"/"</w:t>
            </w:r>
            <w:proofErr w:type="spellStart"/>
            <w:r w:rsidRPr="001C2878">
              <w:rPr>
                <w:rFonts w:asciiTheme="minorHAnsi" w:hAnsiTheme="minorHAnsi" w:cstheme="minorHAnsi"/>
                <w:szCs w:val="22"/>
              </w:rPr>
              <w:t>vertical</w:t>
            </w:r>
            <w:proofErr w:type="spellEnd"/>
            <w:r w:rsidRPr="001C2878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1C2878">
              <w:rPr>
                <w:rFonts w:asciiTheme="minorHAnsi" w:hAnsiTheme="minorHAnsi" w:cstheme="minorHAnsi"/>
                <w:szCs w:val="22"/>
              </w:rPr>
              <w:t>lens</w:t>
            </w:r>
            <w:proofErr w:type="spellEnd"/>
            <w:r w:rsidRPr="001C2878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1C2878">
              <w:rPr>
                <w:rFonts w:asciiTheme="minorHAnsi" w:hAnsiTheme="minorHAnsi" w:cstheme="minorHAnsi"/>
                <w:szCs w:val="22"/>
              </w:rPr>
              <w:t>shift</w:t>
            </w:r>
            <w:proofErr w:type="spellEnd"/>
            <w:r w:rsidRPr="001C2878">
              <w:rPr>
                <w:rFonts w:asciiTheme="minorHAnsi" w:hAnsiTheme="minorHAnsi" w:cstheme="minorHAnsi"/>
                <w:szCs w:val="22"/>
              </w:rPr>
              <w:t>" lub podobna technologia), rzutowanie "prostopadle" na ekran i montaż projektorów na wysokości mniej więcej górnej krawędzi ekranu;</w:t>
            </w:r>
          </w:p>
          <w:p w14:paraId="2FC84230" w14:textId="7BEF50E7" w:rsidR="001C2878" w:rsidRPr="001C2878" w:rsidRDefault="001C2878" w:rsidP="001C2878">
            <w:pPr>
              <w:pStyle w:val="Zwykytekst"/>
              <w:numPr>
                <w:ilvl w:val="0"/>
                <w:numId w:val="11"/>
              </w:numPr>
              <w:spacing w:after="200"/>
              <w:rPr>
                <w:rFonts w:asciiTheme="minorHAnsi" w:hAnsiTheme="minorHAnsi" w:cstheme="minorHAnsi"/>
                <w:szCs w:val="22"/>
              </w:rPr>
            </w:pPr>
            <w:r w:rsidRPr="001C2878">
              <w:rPr>
                <w:rFonts w:asciiTheme="minorHAnsi" w:hAnsiTheme="minorHAnsi" w:cstheme="minorHAnsi"/>
                <w:szCs w:val="22"/>
              </w:rPr>
              <w:t>Zakładany układ projektorów i pokrycia ekranu jest pokazany poglądowo w załączniku do niniejszego dokumentu;</w:t>
            </w:r>
          </w:p>
          <w:p w14:paraId="0E4A2397" w14:textId="312BFB30" w:rsidR="001C2878" w:rsidRPr="001C2878" w:rsidRDefault="001C2878" w:rsidP="001C2878">
            <w:pPr>
              <w:pStyle w:val="Zwykytekst"/>
              <w:numPr>
                <w:ilvl w:val="0"/>
                <w:numId w:val="11"/>
              </w:numPr>
              <w:spacing w:after="200"/>
              <w:rPr>
                <w:rFonts w:asciiTheme="minorHAnsi" w:hAnsiTheme="minorHAnsi" w:cstheme="minorHAnsi"/>
                <w:szCs w:val="22"/>
              </w:rPr>
            </w:pPr>
            <w:r w:rsidRPr="001C2878">
              <w:rPr>
                <w:rFonts w:asciiTheme="minorHAnsi" w:hAnsiTheme="minorHAnsi" w:cstheme="minorHAnsi"/>
                <w:szCs w:val="22"/>
              </w:rPr>
              <w:t>Montaż powinien dla każdego projektora zapewniać rzutowanie z odległości, dla której pokryta jest żądana powierzchnia ekranu, jednocześnie możliwie maksymalizując optyczną jasność obrazu (co dla większości projektorów oznacza rzutowanie w okolicach najszerszego ustawieniu obiektywu);</w:t>
            </w:r>
          </w:p>
          <w:p w14:paraId="060EC7F8" w14:textId="7653B0BC" w:rsidR="001C2878" w:rsidRPr="001C2878" w:rsidRDefault="001C2878" w:rsidP="001C2878">
            <w:pPr>
              <w:pStyle w:val="Zwykytekst"/>
              <w:numPr>
                <w:ilvl w:val="0"/>
                <w:numId w:val="11"/>
              </w:numPr>
              <w:spacing w:after="200"/>
              <w:rPr>
                <w:rFonts w:asciiTheme="minorHAnsi" w:hAnsiTheme="minorHAnsi" w:cstheme="minorHAnsi"/>
                <w:szCs w:val="22"/>
              </w:rPr>
            </w:pPr>
            <w:r w:rsidRPr="001C2878">
              <w:rPr>
                <w:rFonts w:asciiTheme="minorHAnsi" w:hAnsiTheme="minorHAnsi" w:cstheme="minorHAnsi"/>
                <w:szCs w:val="22"/>
              </w:rPr>
              <w:t>Montaż powinien zapewnić uniknięcie sytuacji, w której kabina symulatora w dowolnej pozycji roboczej rzuca cień na ekran w obszarze widocznym przez kierowcę;</w:t>
            </w:r>
          </w:p>
          <w:p w14:paraId="1053D7E7" w14:textId="3EB8392E" w:rsidR="001C2878" w:rsidRPr="001C2878" w:rsidRDefault="001C2878" w:rsidP="001C2878">
            <w:pPr>
              <w:pStyle w:val="Zwykytekst"/>
              <w:numPr>
                <w:ilvl w:val="0"/>
                <w:numId w:val="11"/>
              </w:numPr>
              <w:spacing w:after="200"/>
              <w:rPr>
                <w:rFonts w:asciiTheme="minorHAnsi" w:hAnsiTheme="minorHAnsi" w:cstheme="minorHAnsi"/>
                <w:szCs w:val="22"/>
              </w:rPr>
            </w:pPr>
            <w:r w:rsidRPr="001C2878">
              <w:rPr>
                <w:rFonts w:asciiTheme="minorHAnsi" w:hAnsiTheme="minorHAnsi" w:cstheme="minorHAnsi"/>
                <w:szCs w:val="22"/>
              </w:rPr>
              <w:t>Montaż powinien umożliwiać bezpieczne wykorzystywanie symulatora w pełnym zakresie ruchów kabiny;</w:t>
            </w:r>
          </w:p>
          <w:p w14:paraId="4CD055F3" w14:textId="3C6302C1" w:rsidR="001C2878" w:rsidRPr="001C2878" w:rsidRDefault="001C2878" w:rsidP="001C2878">
            <w:pPr>
              <w:pStyle w:val="Zwykytekst"/>
              <w:numPr>
                <w:ilvl w:val="0"/>
                <w:numId w:val="11"/>
              </w:numPr>
              <w:spacing w:after="200"/>
              <w:rPr>
                <w:rFonts w:asciiTheme="minorHAnsi" w:hAnsiTheme="minorHAnsi" w:cstheme="minorHAnsi"/>
                <w:szCs w:val="22"/>
              </w:rPr>
            </w:pPr>
            <w:r w:rsidRPr="001C2878">
              <w:rPr>
                <w:rFonts w:asciiTheme="minorHAnsi" w:hAnsiTheme="minorHAnsi" w:cstheme="minorHAnsi"/>
                <w:szCs w:val="22"/>
              </w:rPr>
              <w:lastRenderedPageBreak/>
              <w:t>Montaż powinien być bezpieczny, trwały i stabilny (minimalizujący ewentualne drgania) i umożliwiający mechaniczną kalibrację kątów projekcji;</w:t>
            </w:r>
          </w:p>
          <w:p w14:paraId="3AD11FD0" w14:textId="098060FD" w:rsidR="001C2878" w:rsidRPr="001C2878" w:rsidRDefault="001C2878" w:rsidP="001C2878">
            <w:pPr>
              <w:pStyle w:val="Zwykytekst"/>
              <w:numPr>
                <w:ilvl w:val="0"/>
                <w:numId w:val="11"/>
              </w:numPr>
              <w:spacing w:after="200"/>
              <w:rPr>
                <w:rFonts w:asciiTheme="minorHAnsi" w:hAnsiTheme="minorHAnsi" w:cstheme="minorHAnsi"/>
                <w:szCs w:val="22"/>
              </w:rPr>
            </w:pPr>
            <w:r w:rsidRPr="001C2878">
              <w:rPr>
                <w:rFonts w:asciiTheme="minorHAnsi" w:hAnsiTheme="minorHAnsi" w:cstheme="minorHAnsi"/>
                <w:szCs w:val="22"/>
              </w:rPr>
              <w:t>Montaż powinien zapewnić ciągłość obrazu na ekranie (brak odstępów pomiędzy obrazami), ale zminimalizować (&lt;2%) nakładanie się na siebie rzutów z poszczególnych urządzeń (także przed zamontowaniem ewentualnych zasłon/wrót itp.);</w:t>
            </w:r>
          </w:p>
          <w:p w14:paraId="74F48489" w14:textId="3071FE9B" w:rsidR="001C2878" w:rsidRPr="001C2878" w:rsidRDefault="001C2878" w:rsidP="001C2878">
            <w:pPr>
              <w:pStyle w:val="Zwykytekst"/>
              <w:numPr>
                <w:ilvl w:val="0"/>
                <w:numId w:val="11"/>
              </w:numPr>
              <w:spacing w:after="200"/>
              <w:rPr>
                <w:rFonts w:asciiTheme="minorHAnsi" w:hAnsiTheme="minorHAnsi" w:cstheme="minorHAnsi"/>
                <w:szCs w:val="22"/>
              </w:rPr>
            </w:pPr>
            <w:r w:rsidRPr="001C2878">
              <w:rPr>
                <w:rFonts w:asciiTheme="minorHAnsi" w:hAnsiTheme="minorHAnsi" w:cstheme="minorHAnsi"/>
                <w:szCs w:val="22"/>
              </w:rPr>
              <w:t>Montaż powinien zminimalizować rzutowanie obrazu na powierzchnie znajdujące się obok ekranu lub nad ekranem;</w:t>
            </w:r>
          </w:p>
          <w:p w14:paraId="7189A630" w14:textId="1214B5D8" w:rsidR="001C2878" w:rsidRPr="001C2878" w:rsidRDefault="001C2878" w:rsidP="001C2878">
            <w:pPr>
              <w:pStyle w:val="Zwykytekst"/>
              <w:numPr>
                <w:ilvl w:val="0"/>
                <w:numId w:val="11"/>
              </w:numPr>
              <w:spacing w:after="200"/>
              <w:rPr>
                <w:rFonts w:asciiTheme="minorHAnsi" w:hAnsiTheme="minorHAnsi" w:cstheme="minorHAnsi"/>
                <w:szCs w:val="22"/>
              </w:rPr>
            </w:pPr>
            <w:r w:rsidRPr="001C2878">
              <w:rPr>
                <w:rFonts w:asciiTheme="minorHAnsi" w:hAnsiTheme="minorHAnsi" w:cstheme="minorHAnsi"/>
                <w:szCs w:val="22"/>
              </w:rPr>
              <w:t>Montaż systemu nie może przeszkodzić w użytkowaniu istniejącej infrastruktury symulatora, w tym obecnie zamontowanych projektorów;</w:t>
            </w:r>
          </w:p>
          <w:p w14:paraId="5F0780DC" w14:textId="77777777" w:rsidR="001C2878" w:rsidRPr="001C2878" w:rsidRDefault="001C2878" w:rsidP="001C2878">
            <w:pPr>
              <w:pStyle w:val="Zwykytekst"/>
              <w:numPr>
                <w:ilvl w:val="0"/>
                <w:numId w:val="11"/>
              </w:numPr>
              <w:spacing w:after="200"/>
              <w:rPr>
                <w:rFonts w:asciiTheme="minorHAnsi" w:hAnsiTheme="minorHAnsi" w:cstheme="minorHAnsi"/>
                <w:szCs w:val="22"/>
              </w:rPr>
            </w:pPr>
            <w:r w:rsidRPr="001C2878">
              <w:rPr>
                <w:rFonts w:asciiTheme="minorHAnsi" w:hAnsiTheme="minorHAnsi" w:cstheme="minorHAnsi"/>
                <w:szCs w:val="22"/>
              </w:rPr>
              <w:t xml:space="preserve">Na platformie symulatora Moog 6DOF2000E zamocowana jest kabina samochodu osobowego Opel Astra J; </w:t>
            </w:r>
          </w:p>
          <w:p w14:paraId="03506531" w14:textId="6EA2AA3E" w:rsidR="001C2878" w:rsidRPr="001C2878" w:rsidRDefault="001C2878" w:rsidP="001C2878">
            <w:pPr>
              <w:pStyle w:val="Zwykytekst"/>
              <w:numPr>
                <w:ilvl w:val="0"/>
                <w:numId w:val="11"/>
              </w:numPr>
              <w:spacing w:after="200"/>
              <w:rPr>
                <w:rFonts w:asciiTheme="minorHAnsi" w:hAnsiTheme="minorHAnsi" w:cstheme="minorHAnsi"/>
                <w:szCs w:val="22"/>
              </w:rPr>
            </w:pPr>
            <w:r w:rsidRPr="001C2878">
              <w:rPr>
                <w:rFonts w:asciiTheme="minorHAnsi" w:hAnsiTheme="minorHAnsi" w:cstheme="minorHAnsi"/>
                <w:szCs w:val="22"/>
              </w:rPr>
              <w:t>Pomieszczenie symulatora posiada podwieszany sufit na wysokości ok. 4,3m oraz kratownicę na wysokości ok. 4,74m;</w:t>
            </w:r>
          </w:p>
          <w:p w14:paraId="3D49C398" w14:textId="082066A6" w:rsidR="001C2878" w:rsidRPr="001C2878" w:rsidRDefault="001C2878" w:rsidP="001C2878">
            <w:pPr>
              <w:pStyle w:val="Zwykytekst"/>
              <w:numPr>
                <w:ilvl w:val="0"/>
                <w:numId w:val="11"/>
              </w:numPr>
              <w:spacing w:after="200"/>
              <w:rPr>
                <w:rFonts w:asciiTheme="minorHAnsi" w:hAnsiTheme="minorHAnsi" w:cstheme="minorHAnsi"/>
                <w:szCs w:val="22"/>
              </w:rPr>
            </w:pPr>
            <w:r w:rsidRPr="001C2878">
              <w:rPr>
                <w:rFonts w:asciiTheme="minorHAnsi" w:hAnsiTheme="minorHAnsi" w:cstheme="minorHAnsi"/>
                <w:szCs w:val="22"/>
              </w:rPr>
              <w:t>Poglądowe zdjęcie pomieszczenia symulatora, kabiny i ekranu stanowi załącznik do niniejszego dokumentu;</w:t>
            </w:r>
          </w:p>
          <w:p w14:paraId="2133C525" w14:textId="3E1FE5ED" w:rsidR="001C2878" w:rsidRPr="001C2878" w:rsidRDefault="001C2878" w:rsidP="001C2878">
            <w:pPr>
              <w:pStyle w:val="Zwykytekst"/>
              <w:numPr>
                <w:ilvl w:val="0"/>
                <w:numId w:val="11"/>
              </w:numPr>
              <w:spacing w:after="200"/>
              <w:rPr>
                <w:rFonts w:asciiTheme="minorHAnsi" w:hAnsiTheme="minorHAnsi" w:cstheme="minorHAnsi"/>
                <w:szCs w:val="22"/>
              </w:rPr>
            </w:pPr>
            <w:r w:rsidRPr="001C2878">
              <w:rPr>
                <w:rFonts w:asciiTheme="minorHAnsi" w:hAnsiTheme="minorHAnsi" w:cstheme="minorHAnsi"/>
                <w:szCs w:val="22"/>
              </w:rPr>
              <w:t>Projektory powinny być takie same (ten sam producent i model, najlepiej ta sama seria produkcyjna) i każdy z nich powinien spełniać następujące wymagania:</w:t>
            </w:r>
          </w:p>
          <w:p w14:paraId="10E14C8F" w14:textId="7255E5DD" w:rsidR="001C2878" w:rsidRPr="001C2878" w:rsidRDefault="001C2878" w:rsidP="001C2878">
            <w:pPr>
              <w:pStyle w:val="Zwykytekst"/>
              <w:numPr>
                <w:ilvl w:val="1"/>
                <w:numId w:val="11"/>
              </w:numPr>
              <w:spacing w:after="200"/>
              <w:rPr>
                <w:rFonts w:asciiTheme="minorHAnsi" w:hAnsiTheme="minorHAnsi" w:cstheme="minorHAnsi"/>
                <w:szCs w:val="22"/>
              </w:rPr>
            </w:pPr>
            <w:r w:rsidRPr="001C2878">
              <w:rPr>
                <w:rFonts w:asciiTheme="minorHAnsi" w:hAnsiTheme="minorHAnsi" w:cstheme="minorHAnsi"/>
                <w:szCs w:val="22"/>
              </w:rPr>
              <w:t>wyświetlanie wszystkich składowych kolorystycznych obrazu jednocześnie (a NIE sekwencyjnie, jak w technologii 1DLP);</w:t>
            </w:r>
          </w:p>
          <w:p w14:paraId="53CB34DA" w14:textId="77777777" w:rsidR="001C2878" w:rsidRPr="001C2878" w:rsidRDefault="001C2878" w:rsidP="001C2878">
            <w:pPr>
              <w:pStyle w:val="Zwykytekst"/>
              <w:numPr>
                <w:ilvl w:val="1"/>
                <w:numId w:val="11"/>
              </w:numPr>
              <w:spacing w:after="200"/>
              <w:rPr>
                <w:rFonts w:asciiTheme="minorHAnsi" w:hAnsiTheme="minorHAnsi" w:cstheme="minorHAnsi"/>
                <w:szCs w:val="22"/>
              </w:rPr>
            </w:pPr>
            <w:r w:rsidRPr="001C2878">
              <w:rPr>
                <w:rFonts w:asciiTheme="minorHAnsi" w:hAnsiTheme="minorHAnsi" w:cstheme="minorHAnsi"/>
                <w:szCs w:val="22"/>
              </w:rPr>
              <w:t>rzeczywista rozdzielczość optyczna wynosi nie mniej niż 1920x1200 pikseli;</w:t>
            </w:r>
          </w:p>
          <w:p w14:paraId="1606C715" w14:textId="2A6467B7" w:rsidR="001C2878" w:rsidRPr="001C2878" w:rsidRDefault="001C2878" w:rsidP="001C2878">
            <w:pPr>
              <w:pStyle w:val="Zwykytekst"/>
              <w:numPr>
                <w:ilvl w:val="1"/>
                <w:numId w:val="11"/>
              </w:numPr>
              <w:spacing w:after="200"/>
              <w:rPr>
                <w:rFonts w:asciiTheme="minorHAnsi" w:hAnsiTheme="minorHAnsi" w:cstheme="minorHAnsi"/>
                <w:szCs w:val="22"/>
              </w:rPr>
            </w:pPr>
            <w:r w:rsidRPr="001C2878">
              <w:rPr>
                <w:rFonts w:asciiTheme="minorHAnsi" w:hAnsiTheme="minorHAnsi" w:cstheme="minorHAnsi"/>
                <w:szCs w:val="22"/>
              </w:rPr>
              <w:t>wejście cyfrowe HDMI umożliwiające wprowadzenie nieskompresowanego sygnału RGB o rozdzielczości 1920x1200 pikseli i co najmniej 8 bitach na kolor przy 60 obrazach na sekundę;</w:t>
            </w:r>
          </w:p>
          <w:p w14:paraId="10AB2B1E" w14:textId="509A7CAB" w:rsidR="001C2878" w:rsidRPr="001C2878" w:rsidRDefault="001C2878" w:rsidP="001C2878">
            <w:pPr>
              <w:pStyle w:val="Zwykytekst"/>
              <w:numPr>
                <w:ilvl w:val="1"/>
                <w:numId w:val="11"/>
              </w:numPr>
              <w:spacing w:after="200"/>
              <w:rPr>
                <w:rFonts w:asciiTheme="minorHAnsi" w:hAnsiTheme="minorHAnsi" w:cstheme="minorHAnsi"/>
                <w:szCs w:val="22"/>
              </w:rPr>
            </w:pPr>
            <w:r w:rsidRPr="001C2878">
              <w:rPr>
                <w:rFonts w:asciiTheme="minorHAnsi" w:hAnsiTheme="minorHAnsi" w:cstheme="minorHAnsi"/>
                <w:szCs w:val="22"/>
              </w:rPr>
              <w:t>wspierać co najmniej następujące tryby wyświetlania obrazu wideo: 1200p60, 1080p60, 720p60;</w:t>
            </w:r>
          </w:p>
          <w:p w14:paraId="0A0F28D9" w14:textId="77777777" w:rsidR="001C2878" w:rsidRPr="001C2878" w:rsidRDefault="001C2878" w:rsidP="001C2878">
            <w:pPr>
              <w:pStyle w:val="Zwykytekst"/>
              <w:numPr>
                <w:ilvl w:val="1"/>
                <w:numId w:val="11"/>
              </w:numPr>
              <w:spacing w:after="200"/>
              <w:rPr>
                <w:rFonts w:asciiTheme="minorHAnsi" w:hAnsiTheme="minorHAnsi" w:cstheme="minorHAnsi"/>
                <w:szCs w:val="22"/>
              </w:rPr>
            </w:pPr>
            <w:r w:rsidRPr="001C2878">
              <w:rPr>
                <w:rFonts w:asciiTheme="minorHAnsi" w:hAnsiTheme="minorHAnsi" w:cstheme="minorHAnsi"/>
                <w:szCs w:val="22"/>
              </w:rPr>
              <w:t>jasność co najmniej 5000 lumenów;</w:t>
            </w:r>
          </w:p>
          <w:p w14:paraId="21F92935" w14:textId="77777777" w:rsidR="001C2878" w:rsidRPr="001C2878" w:rsidRDefault="001C2878" w:rsidP="001C2878">
            <w:pPr>
              <w:pStyle w:val="Zwykytekst"/>
              <w:numPr>
                <w:ilvl w:val="1"/>
                <w:numId w:val="11"/>
              </w:numPr>
              <w:spacing w:after="200"/>
              <w:rPr>
                <w:rFonts w:asciiTheme="minorHAnsi" w:hAnsiTheme="minorHAnsi" w:cstheme="minorHAnsi"/>
                <w:szCs w:val="22"/>
              </w:rPr>
            </w:pPr>
            <w:r w:rsidRPr="001C2878">
              <w:rPr>
                <w:rFonts w:asciiTheme="minorHAnsi" w:hAnsiTheme="minorHAnsi" w:cstheme="minorHAnsi"/>
                <w:szCs w:val="22"/>
              </w:rPr>
              <w:t>deklarowana przez producenta żywotność lampy co najmniej 5000 godzin;</w:t>
            </w:r>
          </w:p>
          <w:p w14:paraId="7D8C506A" w14:textId="09928F0C" w:rsidR="001C2878" w:rsidRPr="001C2878" w:rsidRDefault="001C2878" w:rsidP="001C2878">
            <w:pPr>
              <w:pStyle w:val="Zwykytekst"/>
              <w:numPr>
                <w:ilvl w:val="1"/>
                <w:numId w:val="11"/>
              </w:numPr>
              <w:spacing w:after="200"/>
              <w:rPr>
                <w:rFonts w:asciiTheme="minorHAnsi" w:hAnsiTheme="minorHAnsi" w:cstheme="minorHAnsi"/>
                <w:szCs w:val="22"/>
              </w:rPr>
            </w:pPr>
            <w:r w:rsidRPr="001C2878">
              <w:rPr>
                <w:rFonts w:asciiTheme="minorHAnsi" w:hAnsiTheme="minorHAnsi" w:cstheme="minorHAnsi"/>
                <w:szCs w:val="22"/>
              </w:rPr>
              <w:t>tryb gier (lub podobny) umożliwiający minimalizację opóźnień przetwarzania i wyświetlania obrazu przez projektor;</w:t>
            </w:r>
          </w:p>
          <w:p w14:paraId="10ABDCDF" w14:textId="7C7A9CA9" w:rsidR="001C2878" w:rsidRPr="001C2878" w:rsidRDefault="001C2878" w:rsidP="001C2878">
            <w:pPr>
              <w:pStyle w:val="Zwykytekst"/>
              <w:numPr>
                <w:ilvl w:val="0"/>
                <w:numId w:val="11"/>
              </w:numPr>
              <w:spacing w:after="200"/>
              <w:rPr>
                <w:rFonts w:asciiTheme="minorHAnsi" w:hAnsiTheme="minorHAnsi" w:cstheme="minorHAnsi"/>
                <w:szCs w:val="22"/>
              </w:rPr>
            </w:pPr>
            <w:r w:rsidRPr="001C2878">
              <w:rPr>
                <w:rFonts w:asciiTheme="minorHAnsi" w:hAnsiTheme="minorHAnsi" w:cstheme="minorHAnsi"/>
                <w:szCs w:val="22"/>
              </w:rPr>
              <w:lastRenderedPageBreak/>
              <w:t>system będzie wyposażony we wszelkie niezbędne okablowanie i akcesoria umożliwiające zasilanie, komunikację i wprowadzenie sygnałów wejściowych; obejmuje to przewodowe, bezpośrednie i stabilne dostarczenie sygnału kablem HDMI z komputerów znajdujących się w tym samym pomieszczeniu;</w:t>
            </w:r>
          </w:p>
          <w:p w14:paraId="12119ED2" w14:textId="7E1248DE" w:rsidR="001C2878" w:rsidRPr="001C2878" w:rsidRDefault="001C2878" w:rsidP="001C2878">
            <w:pPr>
              <w:pStyle w:val="Zwykytekst"/>
              <w:numPr>
                <w:ilvl w:val="0"/>
                <w:numId w:val="11"/>
              </w:numPr>
              <w:spacing w:after="200"/>
              <w:rPr>
                <w:rFonts w:asciiTheme="minorHAnsi" w:hAnsiTheme="minorHAnsi" w:cstheme="minorHAnsi"/>
                <w:szCs w:val="22"/>
              </w:rPr>
            </w:pPr>
            <w:r w:rsidRPr="001C2878">
              <w:rPr>
                <w:rFonts w:asciiTheme="minorHAnsi" w:hAnsiTheme="minorHAnsi" w:cstheme="minorHAnsi"/>
                <w:szCs w:val="22"/>
              </w:rPr>
              <w:t>producent dostarczonego sprzętu posiada oficjalne przedstawicielstwo na terenie Polski;</w:t>
            </w:r>
          </w:p>
          <w:p w14:paraId="1AF36ACF" w14:textId="77777777" w:rsidR="001C2878" w:rsidRPr="001C2878" w:rsidRDefault="001C2878" w:rsidP="001C2878">
            <w:pPr>
              <w:pStyle w:val="Zwykytekst"/>
              <w:numPr>
                <w:ilvl w:val="0"/>
                <w:numId w:val="11"/>
              </w:numPr>
              <w:spacing w:after="200"/>
              <w:rPr>
                <w:rFonts w:asciiTheme="minorHAnsi" w:hAnsiTheme="minorHAnsi" w:cstheme="minorHAnsi"/>
                <w:szCs w:val="22"/>
              </w:rPr>
            </w:pPr>
            <w:r w:rsidRPr="001C2878">
              <w:rPr>
                <w:rFonts w:asciiTheme="minorHAnsi" w:hAnsiTheme="minorHAnsi" w:cstheme="minorHAnsi"/>
                <w:szCs w:val="22"/>
              </w:rPr>
              <w:t>gwarancja na usługę: co najmniej 12 miesięcy od dnia dostawy;</w:t>
            </w:r>
          </w:p>
          <w:p w14:paraId="7BC5C463" w14:textId="63F8A337" w:rsidR="000608E0" w:rsidRPr="001C2878" w:rsidRDefault="001C2878" w:rsidP="001C2878">
            <w:pPr>
              <w:pStyle w:val="Zwykytekst"/>
              <w:numPr>
                <w:ilvl w:val="0"/>
                <w:numId w:val="11"/>
              </w:numPr>
              <w:spacing w:after="200"/>
              <w:rPr>
                <w:rFonts w:asciiTheme="minorHAnsi" w:hAnsiTheme="minorHAnsi" w:cstheme="minorHAnsi"/>
                <w:szCs w:val="22"/>
              </w:rPr>
            </w:pPr>
            <w:r w:rsidRPr="001C2878">
              <w:rPr>
                <w:rFonts w:asciiTheme="minorHAnsi" w:hAnsiTheme="minorHAnsi" w:cstheme="minorHAnsi"/>
                <w:szCs w:val="22"/>
              </w:rPr>
              <w:t>gwarancja na dostarczony sprzęt: co najmniej 36 miesięcy od dnia dostawy;</w:t>
            </w:r>
          </w:p>
        </w:tc>
      </w:tr>
      <w:tr w:rsidR="000B4EE6" w:rsidRPr="008B481B" w14:paraId="277AF09C" w14:textId="77777777" w:rsidTr="000B4EE6">
        <w:trPr>
          <w:cantSplit/>
          <w:trHeight w:val="539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4DF9" w14:textId="77777777" w:rsidR="000B4EE6" w:rsidRPr="008B481B" w:rsidRDefault="000B4EE6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8B481B">
              <w:rPr>
                <w:rFonts w:ascii="Calibri" w:hAnsi="Calibri" w:cs="Tahoma"/>
                <w:color w:val="000000"/>
                <w:sz w:val="20"/>
                <w:szCs w:val="20"/>
              </w:rPr>
              <w:lastRenderedPageBreak/>
              <w:t>Termin i miejsce sposób składania wycen</w:t>
            </w:r>
          </w:p>
        </w:tc>
        <w:tc>
          <w:tcPr>
            <w:tcW w:w="3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45EB" w14:textId="4F3397BD" w:rsidR="000B4EE6" w:rsidRPr="008B481B" w:rsidRDefault="000B4EE6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8B481B">
              <w:rPr>
                <w:rFonts w:ascii="Calibri" w:hAnsi="Calibri" w:cs="Tahoma"/>
                <w:color w:val="000000"/>
                <w:sz w:val="20"/>
                <w:szCs w:val="20"/>
              </w:rPr>
              <w:t>Wyceny sporządzone zgodnie z niniejszą specyfi</w:t>
            </w:r>
            <w:r w:rsidR="00BA0DA0" w:rsidRPr="008B481B">
              <w:rPr>
                <w:rFonts w:ascii="Calibri" w:hAnsi="Calibri" w:cs="Tahoma"/>
                <w:color w:val="000000"/>
                <w:sz w:val="20"/>
                <w:szCs w:val="20"/>
              </w:rPr>
              <w:t>kacją prosimy składać do dnia</w:t>
            </w:r>
            <w:r w:rsidR="00E26E63">
              <w:rPr>
                <w:rFonts w:ascii="Calibri" w:hAnsi="Calibri" w:cs="Tahoma"/>
                <w:color w:val="000000"/>
                <w:sz w:val="20"/>
                <w:szCs w:val="20"/>
              </w:rPr>
              <w:t xml:space="preserve"> 15.12.2020</w:t>
            </w:r>
            <w:r w:rsidR="00BA0DA0" w:rsidRPr="008B481B">
              <w:rPr>
                <w:rFonts w:ascii="Calibri" w:hAnsi="Calibri" w:cs="Tahoma"/>
                <w:color w:val="000000"/>
                <w:sz w:val="20"/>
                <w:szCs w:val="20"/>
              </w:rPr>
              <w:t xml:space="preserve"> </w:t>
            </w:r>
            <w:r w:rsidRPr="008B481B">
              <w:rPr>
                <w:rFonts w:ascii="Calibri" w:hAnsi="Calibri" w:cs="Tahoma"/>
                <w:color w:val="000000"/>
                <w:sz w:val="20"/>
                <w:szCs w:val="20"/>
              </w:rPr>
              <w:t xml:space="preserve"> na adres e-mail: </w:t>
            </w:r>
            <w:r w:rsidR="00E26E63">
              <w:rPr>
                <w:rFonts w:ascii="Calibri" w:hAnsi="Calibri" w:cs="Tahoma"/>
                <w:color w:val="000000"/>
                <w:sz w:val="20"/>
                <w:szCs w:val="20"/>
              </w:rPr>
              <w:t>kamil.socha@its.waw.pl</w:t>
            </w:r>
            <w:bookmarkStart w:id="0" w:name="_GoBack"/>
            <w:bookmarkEnd w:id="0"/>
          </w:p>
        </w:tc>
      </w:tr>
      <w:tr w:rsidR="00325808" w:rsidRPr="008B481B" w14:paraId="0A417330" w14:textId="77777777" w:rsidTr="00CB6903">
        <w:trPr>
          <w:cantSplit/>
          <w:trHeight w:val="539"/>
        </w:trPr>
        <w:tc>
          <w:tcPr>
            <w:tcW w:w="1009" w:type="pct"/>
            <w:vAlign w:val="center"/>
          </w:tcPr>
          <w:p w14:paraId="326D58E8" w14:textId="77777777" w:rsidR="00325808" w:rsidRPr="008B481B" w:rsidRDefault="00325808" w:rsidP="00CB6903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  <w:p w14:paraId="27F88AA8" w14:textId="77777777" w:rsidR="00325808" w:rsidRPr="008B481B" w:rsidRDefault="00325808" w:rsidP="00CB6903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8B481B">
              <w:rPr>
                <w:rFonts w:ascii="Calibri" w:hAnsi="Calibri" w:cs="Tahoma"/>
                <w:color w:val="000000"/>
                <w:sz w:val="20"/>
                <w:szCs w:val="20"/>
              </w:rPr>
              <w:t>Termin realizacji</w:t>
            </w:r>
          </w:p>
          <w:p w14:paraId="04EC28B9" w14:textId="77777777" w:rsidR="00325808" w:rsidRPr="008B481B" w:rsidRDefault="00325808" w:rsidP="00CB6903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3991" w:type="pct"/>
            <w:vAlign w:val="center"/>
          </w:tcPr>
          <w:p w14:paraId="72E304F0" w14:textId="7216CC23" w:rsidR="00325808" w:rsidRPr="008B481B" w:rsidRDefault="005B4A99" w:rsidP="002E26B8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color w:val="000000"/>
                <w:sz w:val="20"/>
                <w:szCs w:val="20"/>
              </w:rPr>
              <w:t>31.12.2020 r.</w:t>
            </w:r>
          </w:p>
        </w:tc>
      </w:tr>
      <w:tr w:rsidR="00325808" w:rsidRPr="008B481B" w14:paraId="051605EC" w14:textId="77777777" w:rsidTr="00CB6903">
        <w:trPr>
          <w:trHeight w:val="1260"/>
        </w:trPr>
        <w:tc>
          <w:tcPr>
            <w:tcW w:w="1009" w:type="pct"/>
            <w:vAlign w:val="center"/>
          </w:tcPr>
          <w:p w14:paraId="0BEC9FA1" w14:textId="77777777" w:rsidR="00325808" w:rsidRPr="008B481B" w:rsidRDefault="00325808" w:rsidP="00CB6903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8B481B">
              <w:rPr>
                <w:rFonts w:ascii="Calibri" w:hAnsi="Calibri" w:cs="Tahoma"/>
                <w:color w:val="000000"/>
                <w:sz w:val="20"/>
                <w:szCs w:val="20"/>
              </w:rPr>
              <w:t xml:space="preserve">Cena za realizację przedmiotu zamówienia  </w:t>
            </w:r>
            <w:r w:rsidRPr="008B481B">
              <w:rPr>
                <w:rFonts w:ascii="Calibri" w:hAnsi="Calibri" w:cs="Tahoma"/>
                <w:b/>
                <w:color w:val="000000"/>
                <w:sz w:val="20"/>
                <w:szCs w:val="20"/>
              </w:rPr>
              <w:t>netto i brutto [PLN]</w:t>
            </w:r>
          </w:p>
          <w:p w14:paraId="0FB496E4" w14:textId="77777777" w:rsidR="00325808" w:rsidRPr="008B481B" w:rsidRDefault="00325808" w:rsidP="00CB6903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8B481B">
              <w:rPr>
                <w:rFonts w:ascii="Calibri" w:hAnsi="Calibri" w:cs="Tahoma"/>
                <w:b/>
                <w:color w:val="FF0000"/>
                <w:sz w:val="20"/>
                <w:szCs w:val="20"/>
              </w:rPr>
              <w:t>(wypełnia Wykonawca)</w:t>
            </w:r>
          </w:p>
        </w:tc>
        <w:tc>
          <w:tcPr>
            <w:tcW w:w="3991" w:type="pct"/>
            <w:vAlign w:val="center"/>
          </w:tcPr>
          <w:p w14:paraId="1E0D7389" w14:textId="77777777" w:rsidR="00325808" w:rsidRPr="008B481B" w:rsidRDefault="00325808" w:rsidP="0008598E">
            <w:pPr>
              <w:jc w:val="center"/>
              <w:rPr>
                <w:rFonts w:ascii="Calibri" w:hAnsi="Calibri" w:cs="Tahoma"/>
                <w:b/>
                <w:color w:val="FF0000"/>
                <w:sz w:val="20"/>
                <w:szCs w:val="20"/>
              </w:rPr>
            </w:pPr>
          </w:p>
        </w:tc>
      </w:tr>
      <w:tr w:rsidR="00325808" w:rsidRPr="008B481B" w14:paraId="365CB637" w14:textId="77777777" w:rsidTr="00CB6903">
        <w:trPr>
          <w:trHeight w:val="1548"/>
        </w:trPr>
        <w:tc>
          <w:tcPr>
            <w:tcW w:w="1009" w:type="pct"/>
            <w:vAlign w:val="center"/>
          </w:tcPr>
          <w:p w14:paraId="38EDD639" w14:textId="77777777" w:rsidR="00325808" w:rsidRPr="008B481B" w:rsidRDefault="00325808" w:rsidP="00CB6903">
            <w:pPr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8B481B">
              <w:rPr>
                <w:rFonts w:ascii="Calibri" w:hAnsi="Calibri" w:cs="Tahoma"/>
                <w:color w:val="000000"/>
                <w:sz w:val="20"/>
                <w:szCs w:val="20"/>
              </w:rPr>
              <w:t>Dane teleadresowe Wykonawcy:</w:t>
            </w:r>
          </w:p>
          <w:p w14:paraId="174017FC" w14:textId="77777777" w:rsidR="00325808" w:rsidRPr="008B481B" w:rsidRDefault="00325808" w:rsidP="00CB6903">
            <w:pPr>
              <w:rPr>
                <w:rFonts w:ascii="Calibri" w:hAnsi="Calibri" w:cs="Tahoma"/>
                <w:b/>
                <w:color w:val="FF0000"/>
                <w:sz w:val="20"/>
                <w:szCs w:val="20"/>
              </w:rPr>
            </w:pPr>
            <w:r w:rsidRPr="008B481B">
              <w:rPr>
                <w:rFonts w:ascii="Calibri" w:hAnsi="Calibri" w:cs="Tahoma"/>
                <w:b/>
                <w:color w:val="FF0000"/>
                <w:sz w:val="20"/>
                <w:szCs w:val="20"/>
              </w:rPr>
              <w:t xml:space="preserve"> (wypełnia Wykonawca)</w:t>
            </w:r>
          </w:p>
        </w:tc>
        <w:tc>
          <w:tcPr>
            <w:tcW w:w="3991" w:type="pct"/>
            <w:vAlign w:val="center"/>
          </w:tcPr>
          <w:p w14:paraId="10E4D8C5" w14:textId="77777777" w:rsidR="00EA5A32" w:rsidRPr="008B481B" w:rsidRDefault="00EA5A32" w:rsidP="0008598E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</w:tr>
    </w:tbl>
    <w:p w14:paraId="1DC71BBF" w14:textId="77777777" w:rsidR="00325808" w:rsidRPr="008B481B" w:rsidRDefault="00325808" w:rsidP="00325808">
      <w:pPr>
        <w:pStyle w:val="NormalnyWeb"/>
        <w:spacing w:before="0" w:beforeAutospacing="0" w:after="0"/>
        <w:jc w:val="center"/>
        <w:rPr>
          <w:rFonts w:ascii="Calibri" w:hAnsi="Calibri"/>
          <w:i/>
          <w:color w:val="000000"/>
          <w:sz w:val="20"/>
          <w:szCs w:val="20"/>
        </w:rPr>
      </w:pPr>
    </w:p>
    <w:p w14:paraId="7A8037F7" w14:textId="77777777" w:rsidR="002B6FFC" w:rsidRPr="008B481B" w:rsidRDefault="00325808" w:rsidP="00325808">
      <w:pPr>
        <w:spacing w:before="120"/>
        <w:rPr>
          <w:rFonts w:ascii="Calibri" w:hAnsi="Calibri"/>
          <w:sz w:val="22"/>
          <w:szCs w:val="22"/>
        </w:rPr>
      </w:pPr>
      <w:r w:rsidRPr="008B481B">
        <w:rPr>
          <w:rFonts w:ascii="Calibri" w:hAnsi="Calibri"/>
          <w:i/>
          <w:color w:val="000000"/>
          <w:sz w:val="20"/>
          <w:szCs w:val="20"/>
        </w:rPr>
        <w:t>Niniejsza informacja nie jest ogłoszeniem o zamówieniu w rozumieniu ustawy z dnia 29 stycznia 2004 r. – Prawo zamówień publicznych, a wycena przesłana przez Wykonawcę stanowić będzie podstawę do ustalenia wartości zamówienia i nie będzie stanowić oferty w rozumieniu art. 66 Kodeksu Cywilnego.</w:t>
      </w:r>
    </w:p>
    <w:sectPr w:rsidR="002B6FFC" w:rsidRPr="008B481B" w:rsidSect="009F2DB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51A6F" w14:textId="77777777" w:rsidR="00F63762" w:rsidRDefault="00F63762">
      <w:r>
        <w:separator/>
      </w:r>
    </w:p>
  </w:endnote>
  <w:endnote w:type="continuationSeparator" w:id="0">
    <w:p w14:paraId="73A2EC34" w14:textId="77777777" w:rsidR="00F63762" w:rsidRDefault="00F6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8ACED" w14:textId="77777777" w:rsidR="007A4D2E" w:rsidRDefault="009837A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2A21">
      <w:rPr>
        <w:noProof/>
      </w:rPr>
      <w:t>2</w:t>
    </w:r>
    <w:r>
      <w:rPr>
        <w:noProof/>
      </w:rPr>
      <w:fldChar w:fldCharType="end"/>
    </w:r>
  </w:p>
  <w:p w14:paraId="629EC10F" w14:textId="77777777" w:rsidR="007A4D2E" w:rsidRDefault="007A4D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F5D00" w14:textId="77777777" w:rsidR="007A4D2E" w:rsidRDefault="006728D5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EF9A4F7" wp14:editId="0A3A5D92">
          <wp:simplePos x="0" y="0"/>
          <wp:positionH relativeFrom="column">
            <wp:posOffset>-530860</wp:posOffset>
          </wp:positionH>
          <wp:positionV relativeFrom="paragraph">
            <wp:posOffset>-160655</wp:posOffset>
          </wp:positionV>
          <wp:extent cx="6858635" cy="488315"/>
          <wp:effectExtent l="19050" t="0" r="0" b="0"/>
          <wp:wrapNone/>
          <wp:docPr id="3" name="Obraz 3" descr="stopk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opka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635" cy="488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71F64" w14:textId="77777777" w:rsidR="00F63762" w:rsidRDefault="00F63762">
      <w:r>
        <w:separator/>
      </w:r>
    </w:p>
  </w:footnote>
  <w:footnote w:type="continuationSeparator" w:id="0">
    <w:p w14:paraId="4CC929BC" w14:textId="77777777" w:rsidR="00F63762" w:rsidRDefault="00F63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8C5EF" w14:textId="77777777" w:rsidR="007A4D2E" w:rsidRDefault="007A4D2E" w:rsidP="00EF75E8">
    <w:pPr>
      <w:pStyle w:val="Nagwek"/>
      <w:ind w:left="-851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2869C" w14:textId="77777777" w:rsidR="007A4D2E" w:rsidRPr="00EF75E8" w:rsidRDefault="006728D5" w:rsidP="00EF75E8">
    <w:pPr>
      <w:pStyle w:val="Nagwek"/>
      <w:ind w:left="-851"/>
    </w:pPr>
    <w:r>
      <w:rPr>
        <w:noProof/>
      </w:rPr>
      <w:drawing>
        <wp:inline distT="0" distB="0" distL="0" distR="0" wp14:anchorId="0C85B325" wp14:editId="00365222">
          <wp:extent cx="6806565" cy="803275"/>
          <wp:effectExtent l="19050" t="0" r="0" b="0"/>
          <wp:docPr id="1" name="Obraz 1" descr="naglow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6565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9243E"/>
    <w:multiLevelType w:val="hybridMultilevel"/>
    <w:tmpl w:val="700627F2"/>
    <w:lvl w:ilvl="0" w:tplc="F3CEA7A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3265E"/>
    <w:multiLevelType w:val="hybridMultilevel"/>
    <w:tmpl w:val="68C4A722"/>
    <w:lvl w:ilvl="0" w:tplc="0415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97" w:hanging="360"/>
      </w:pPr>
    </w:lvl>
    <w:lvl w:ilvl="2" w:tplc="0415001B" w:tentative="1">
      <w:start w:val="1"/>
      <w:numFmt w:val="lowerRoman"/>
      <w:lvlText w:val="%3."/>
      <w:lvlJc w:val="right"/>
      <w:pPr>
        <w:ind w:left="1617" w:hanging="180"/>
      </w:pPr>
    </w:lvl>
    <w:lvl w:ilvl="3" w:tplc="0415000F" w:tentative="1">
      <w:start w:val="1"/>
      <w:numFmt w:val="decimal"/>
      <w:lvlText w:val="%4."/>
      <w:lvlJc w:val="left"/>
      <w:pPr>
        <w:ind w:left="2337" w:hanging="360"/>
      </w:pPr>
    </w:lvl>
    <w:lvl w:ilvl="4" w:tplc="04150019" w:tentative="1">
      <w:start w:val="1"/>
      <w:numFmt w:val="lowerLetter"/>
      <w:lvlText w:val="%5."/>
      <w:lvlJc w:val="left"/>
      <w:pPr>
        <w:ind w:left="3057" w:hanging="360"/>
      </w:pPr>
    </w:lvl>
    <w:lvl w:ilvl="5" w:tplc="0415001B" w:tentative="1">
      <w:start w:val="1"/>
      <w:numFmt w:val="lowerRoman"/>
      <w:lvlText w:val="%6."/>
      <w:lvlJc w:val="right"/>
      <w:pPr>
        <w:ind w:left="3777" w:hanging="180"/>
      </w:pPr>
    </w:lvl>
    <w:lvl w:ilvl="6" w:tplc="0415000F" w:tentative="1">
      <w:start w:val="1"/>
      <w:numFmt w:val="decimal"/>
      <w:lvlText w:val="%7."/>
      <w:lvlJc w:val="left"/>
      <w:pPr>
        <w:ind w:left="4497" w:hanging="360"/>
      </w:pPr>
    </w:lvl>
    <w:lvl w:ilvl="7" w:tplc="04150019" w:tentative="1">
      <w:start w:val="1"/>
      <w:numFmt w:val="lowerLetter"/>
      <w:lvlText w:val="%8."/>
      <w:lvlJc w:val="left"/>
      <w:pPr>
        <w:ind w:left="5217" w:hanging="360"/>
      </w:pPr>
    </w:lvl>
    <w:lvl w:ilvl="8" w:tplc="0415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2" w15:restartNumberingAfterBreak="0">
    <w:nsid w:val="232750C6"/>
    <w:multiLevelType w:val="hybridMultilevel"/>
    <w:tmpl w:val="00727F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696B83"/>
    <w:multiLevelType w:val="hybridMultilevel"/>
    <w:tmpl w:val="C16E2FFC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CF440C6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025AC1"/>
    <w:multiLevelType w:val="hybridMultilevel"/>
    <w:tmpl w:val="F5428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80732"/>
    <w:multiLevelType w:val="hybridMultilevel"/>
    <w:tmpl w:val="5EC64FA8"/>
    <w:lvl w:ilvl="0" w:tplc="9314DF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AE062CF"/>
    <w:multiLevelType w:val="hybridMultilevel"/>
    <w:tmpl w:val="C2141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73F15"/>
    <w:multiLevelType w:val="hybridMultilevel"/>
    <w:tmpl w:val="99F27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208BC"/>
    <w:multiLevelType w:val="hybridMultilevel"/>
    <w:tmpl w:val="824868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3F4C95"/>
    <w:multiLevelType w:val="hybridMultilevel"/>
    <w:tmpl w:val="E7428E54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B9C"/>
    <w:rsid w:val="00010A0D"/>
    <w:rsid w:val="00011690"/>
    <w:rsid w:val="00017599"/>
    <w:rsid w:val="00023DF8"/>
    <w:rsid w:val="00026856"/>
    <w:rsid w:val="00027275"/>
    <w:rsid w:val="000608E0"/>
    <w:rsid w:val="00062B20"/>
    <w:rsid w:val="00082952"/>
    <w:rsid w:val="0008598E"/>
    <w:rsid w:val="000A586A"/>
    <w:rsid w:val="000B4EE6"/>
    <w:rsid w:val="000C2A87"/>
    <w:rsid w:val="000C65D3"/>
    <w:rsid w:val="000E62CD"/>
    <w:rsid w:val="000F1D4E"/>
    <w:rsid w:val="000F50B5"/>
    <w:rsid w:val="001224D8"/>
    <w:rsid w:val="00124B3D"/>
    <w:rsid w:val="0012656F"/>
    <w:rsid w:val="001266B4"/>
    <w:rsid w:val="00126DB4"/>
    <w:rsid w:val="00126E55"/>
    <w:rsid w:val="00155EB2"/>
    <w:rsid w:val="00170533"/>
    <w:rsid w:val="0017285C"/>
    <w:rsid w:val="0019114C"/>
    <w:rsid w:val="001A3476"/>
    <w:rsid w:val="001A39FD"/>
    <w:rsid w:val="001B13ED"/>
    <w:rsid w:val="001B590C"/>
    <w:rsid w:val="001C120F"/>
    <w:rsid w:val="001C2878"/>
    <w:rsid w:val="001E67F9"/>
    <w:rsid w:val="00210144"/>
    <w:rsid w:val="00210326"/>
    <w:rsid w:val="00246968"/>
    <w:rsid w:val="0025336A"/>
    <w:rsid w:val="0027252B"/>
    <w:rsid w:val="00273A1A"/>
    <w:rsid w:val="00275AFF"/>
    <w:rsid w:val="00280281"/>
    <w:rsid w:val="00292EE1"/>
    <w:rsid w:val="00293BD5"/>
    <w:rsid w:val="002A35E0"/>
    <w:rsid w:val="002B6FFC"/>
    <w:rsid w:val="002C080D"/>
    <w:rsid w:val="002D6279"/>
    <w:rsid w:val="002E26B8"/>
    <w:rsid w:val="002E6E8A"/>
    <w:rsid w:val="00303126"/>
    <w:rsid w:val="00304A45"/>
    <w:rsid w:val="00325808"/>
    <w:rsid w:val="00332C76"/>
    <w:rsid w:val="003342C0"/>
    <w:rsid w:val="003859B4"/>
    <w:rsid w:val="003B079D"/>
    <w:rsid w:val="0040664D"/>
    <w:rsid w:val="0042409F"/>
    <w:rsid w:val="004259ED"/>
    <w:rsid w:val="00471A32"/>
    <w:rsid w:val="0047538B"/>
    <w:rsid w:val="00483C64"/>
    <w:rsid w:val="00484F17"/>
    <w:rsid w:val="004974D1"/>
    <w:rsid w:val="004B5DF9"/>
    <w:rsid w:val="004C5592"/>
    <w:rsid w:val="004E6F89"/>
    <w:rsid w:val="004F301D"/>
    <w:rsid w:val="004F728B"/>
    <w:rsid w:val="00534DD7"/>
    <w:rsid w:val="00536101"/>
    <w:rsid w:val="005529AC"/>
    <w:rsid w:val="005670A4"/>
    <w:rsid w:val="0057740D"/>
    <w:rsid w:val="0058675F"/>
    <w:rsid w:val="00593122"/>
    <w:rsid w:val="00593561"/>
    <w:rsid w:val="00597ACA"/>
    <w:rsid w:val="005A06AD"/>
    <w:rsid w:val="005A2033"/>
    <w:rsid w:val="005A26D4"/>
    <w:rsid w:val="005B25AC"/>
    <w:rsid w:val="005B4A99"/>
    <w:rsid w:val="005C470D"/>
    <w:rsid w:val="005D7856"/>
    <w:rsid w:val="005E68D3"/>
    <w:rsid w:val="005F52FC"/>
    <w:rsid w:val="005F7B6B"/>
    <w:rsid w:val="00624095"/>
    <w:rsid w:val="00624BB3"/>
    <w:rsid w:val="00634372"/>
    <w:rsid w:val="006375E4"/>
    <w:rsid w:val="006524F6"/>
    <w:rsid w:val="00660C6E"/>
    <w:rsid w:val="00664FB2"/>
    <w:rsid w:val="00670FD9"/>
    <w:rsid w:val="006728D5"/>
    <w:rsid w:val="00682A21"/>
    <w:rsid w:val="006A1BCB"/>
    <w:rsid w:val="006B20DE"/>
    <w:rsid w:val="006C056D"/>
    <w:rsid w:val="006D0240"/>
    <w:rsid w:val="006D6AF4"/>
    <w:rsid w:val="0072495F"/>
    <w:rsid w:val="00747A50"/>
    <w:rsid w:val="00750DE1"/>
    <w:rsid w:val="00760B46"/>
    <w:rsid w:val="007623CE"/>
    <w:rsid w:val="00774FF2"/>
    <w:rsid w:val="00793CD4"/>
    <w:rsid w:val="007957DF"/>
    <w:rsid w:val="007A4D2E"/>
    <w:rsid w:val="007C1F92"/>
    <w:rsid w:val="007C2C36"/>
    <w:rsid w:val="008151B1"/>
    <w:rsid w:val="00821974"/>
    <w:rsid w:val="0083408C"/>
    <w:rsid w:val="00844191"/>
    <w:rsid w:val="00876CA5"/>
    <w:rsid w:val="008A6194"/>
    <w:rsid w:val="008B481B"/>
    <w:rsid w:val="008C0DAB"/>
    <w:rsid w:val="008F0335"/>
    <w:rsid w:val="00932BFF"/>
    <w:rsid w:val="00945134"/>
    <w:rsid w:val="00954B98"/>
    <w:rsid w:val="009608F2"/>
    <w:rsid w:val="0096375A"/>
    <w:rsid w:val="0097347C"/>
    <w:rsid w:val="009737A0"/>
    <w:rsid w:val="0097589F"/>
    <w:rsid w:val="009837A4"/>
    <w:rsid w:val="00990934"/>
    <w:rsid w:val="009A43EF"/>
    <w:rsid w:val="009B6F37"/>
    <w:rsid w:val="009C09B4"/>
    <w:rsid w:val="009D7309"/>
    <w:rsid w:val="009E5BE1"/>
    <w:rsid w:val="009F2DBC"/>
    <w:rsid w:val="009F2EDD"/>
    <w:rsid w:val="00A526A4"/>
    <w:rsid w:val="00A65AE0"/>
    <w:rsid w:val="00A67BE2"/>
    <w:rsid w:val="00A86B86"/>
    <w:rsid w:val="00AE2C6B"/>
    <w:rsid w:val="00AF4687"/>
    <w:rsid w:val="00B00825"/>
    <w:rsid w:val="00B0238F"/>
    <w:rsid w:val="00B237F0"/>
    <w:rsid w:val="00B32435"/>
    <w:rsid w:val="00B363B5"/>
    <w:rsid w:val="00B83FD6"/>
    <w:rsid w:val="00B95B2F"/>
    <w:rsid w:val="00BA0DA0"/>
    <w:rsid w:val="00BA2B8B"/>
    <w:rsid w:val="00BA60E3"/>
    <w:rsid w:val="00BC2CFD"/>
    <w:rsid w:val="00BD4785"/>
    <w:rsid w:val="00BE4EBF"/>
    <w:rsid w:val="00C135BE"/>
    <w:rsid w:val="00C148CC"/>
    <w:rsid w:val="00C1716C"/>
    <w:rsid w:val="00C2240A"/>
    <w:rsid w:val="00C24E7A"/>
    <w:rsid w:val="00C31C2B"/>
    <w:rsid w:val="00C402D1"/>
    <w:rsid w:val="00C51113"/>
    <w:rsid w:val="00C62512"/>
    <w:rsid w:val="00C655EE"/>
    <w:rsid w:val="00C73130"/>
    <w:rsid w:val="00C806C6"/>
    <w:rsid w:val="00C87084"/>
    <w:rsid w:val="00C92937"/>
    <w:rsid w:val="00C938AC"/>
    <w:rsid w:val="00C93929"/>
    <w:rsid w:val="00CA4122"/>
    <w:rsid w:val="00CB5FD8"/>
    <w:rsid w:val="00CB6903"/>
    <w:rsid w:val="00CC1D31"/>
    <w:rsid w:val="00CC35D8"/>
    <w:rsid w:val="00CE68D2"/>
    <w:rsid w:val="00CF1BCD"/>
    <w:rsid w:val="00CF67D1"/>
    <w:rsid w:val="00D11DB5"/>
    <w:rsid w:val="00D45FC8"/>
    <w:rsid w:val="00D469DB"/>
    <w:rsid w:val="00D55581"/>
    <w:rsid w:val="00D67298"/>
    <w:rsid w:val="00D85C45"/>
    <w:rsid w:val="00DA2B9C"/>
    <w:rsid w:val="00DB2DE1"/>
    <w:rsid w:val="00DB2FE3"/>
    <w:rsid w:val="00DD09FA"/>
    <w:rsid w:val="00DF02D6"/>
    <w:rsid w:val="00E01739"/>
    <w:rsid w:val="00E01D95"/>
    <w:rsid w:val="00E139C0"/>
    <w:rsid w:val="00E26E63"/>
    <w:rsid w:val="00E322EC"/>
    <w:rsid w:val="00E359FE"/>
    <w:rsid w:val="00E4292D"/>
    <w:rsid w:val="00E42937"/>
    <w:rsid w:val="00E5455B"/>
    <w:rsid w:val="00E60AEC"/>
    <w:rsid w:val="00E62F80"/>
    <w:rsid w:val="00E6705F"/>
    <w:rsid w:val="00EA314F"/>
    <w:rsid w:val="00EA4F8B"/>
    <w:rsid w:val="00EA52D6"/>
    <w:rsid w:val="00EA5A32"/>
    <w:rsid w:val="00EB2442"/>
    <w:rsid w:val="00EE1BBA"/>
    <w:rsid w:val="00EF75E8"/>
    <w:rsid w:val="00F0142B"/>
    <w:rsid w:val="00F21557"/>
    <w:rsid w:val="00F21C8A"/>
    <w:rsid w:val="00F339CE"/>
    <w:rsid w:val="00F3451A"/>
    <w:rsid w:val="00F34B02"/>
    <w:rsid w:val="00F37299"/>
    <w:rsid w:val="00F42A3D"/>
    <w:rsid w:val="00F63086"/>
    <w:rsid w:val="00F63762"/>
    <w:rsid w:val="00F70E3E"/>
    <w:rsid w:val="00F9203C"/>
    <w:rsid w:val="00FB7B79"/>
    <w:rsid w:val="00FB7FB7"/>
    <w:rsid w:val="00FD1FC4"/>
    <w:rsid w:val="00FD337F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7E0C0B"/>
  <w15:docId w15:val="{A7ECBA13-C43A-4018-AEBE-397CEAAE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A2B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A2B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F75E8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1C120F"/>
    <w:rPr>
      <w:sz w:val="20"/>
      <w:szCs w:val="20"/>
      <w:lang w:val="en-GB" w:eastAsia="en-GB"/>
    </w:rPr>
  </w:style>
  <w:style w:type="character" w:customStyle="1" w:styleId="TekstprzypisudolnegoZnak">
    <w:name w:val="Tekst przypisu dolnego Znak"/>
    <w:link w:val="Tekstprzypisudolnego"/>
    <w:rsid w:val="001C120F"/>
    <w:rPr>
      <w:lang w:val="en-GB" w:eastAsia="en-GB"/>
    </w:rPr>
  </w:style>
  <w:style w:type="character" w:styleId="Odwoanieprzypisudolnego">
    <w:name w:val="footnote reference"/>
    <w:rsid w:val="001C120F"/>
    <w:rPr>
      <w:vertAlign w:val="superscript"/>
    </w:rPr>
  </w:style>
  <w:style w:type="paragraph" w:customStyle="1" w:styleId="Text1">
    <w:name w:val="Text 1"/>
    <w:basedOn w:val="Normalny"/>
    <w:link w:val="Text1Char"/>
    <w:rsid w:val="001C120F"/>
    <w:pPr>
      <w:spacing w:before="120" w:after="120"/>
      <w:ind w:left="850"/>
      <w:jc w:val="both"/>
    </w:pPr>
    <w:rPr>
      <w:lang w:val="en-GB" w:eastAsia="zh-CN"/>
    </w:rPr>
  </w:style>
  <w:style w:type="character" w:customStyle="1" w:styleId="Text1Char">
    <w:name w:val="Text 1 Char"/>
    <w:link w:val="Text1"/>
    <w:rsid w:val="001C120F"/>
    <w:rPr>
      <w:sz w:val="24"/>
      <w:szCs w:val="24"/>
      <w:lang w:val="en-GB" w:eastAsia="zh-CN"/>
    </w:rPr>
  </w:style>
  <w:style w:type="paragraph" w:styleId="Akapitzlist">
    <w:name w:val="List Paragraph"/>
    <w:basedOn w:val="Normalny"/>
    <w:uiPriority w:val="34"/>
    <w:qFormat/>
    <w:rsid w:val="005F52FC"/>
    <w:pPr>
      <w:ind w:left="720"/>
      <w:contextualSpacing/>
    </w:pPr>
    <w:rPr>
      <w:lang w:val="lt-LT" w:eastAsia="lt-LT"/>
    </w:rPr>
  </w:style>
  <w:style w:type="paragraph" w:styleId="Tekstdymka">
    <w:name w:val="Balloon Text"/>
    <w:basedOn w:val="Normalny"/>
    <w:link w:val="TekstdymkaZnak"/>
    <w:rsid w:val="0059312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593122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link w:val="PodtytuZnak"/>
    <w:qFormat/>
    <w:rsid w:val="002B6FFC"/>
    <w:pPr>
      <w:spacing w:after="60" w:line="360" w:lineRule="auto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link w:val="Podtytu"/>
    <w:rsid w:val="002B6FFC"/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325808"/>
    <w:pPr>
      <w:spacing w:before="100" w:beforeAutospacing="1" w:after="119"/>
    </w:pPr>
  </w:style>
  <w:style w:type="character" w:styleId="Hipercze">
    <w:name w:val="Hyperlink"/>
    <w:rsid w:val="004F728B"/>
    <w:rPr>
      <w:color w:val="0000FF"/>
      <w:u w:val="single"/>
    </w:rPr>
  </w:style>
  <w:style w:type="character" w:styleId="Odwoaniedokomentarza">
    <w:name w:val="annotation reference"/>
    <w:rsid w:val="00B363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63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63B5"/>
  </w:style>
  <w:style w:type="paragraph" w:styleId="Tematkomentarza">
    <w:name w:val="annotation subject"/>
    <w:basedOn w:val="Tekstkomentarza"/>
    <w:next w:val="Tekstkomentarza"/>
    <w:link w:val="TematkomentarzaZnak"/>
    <w:rsid w:val="00B363B5"/>
    <w:rPr>
      <w:b/>
      <w:bCs/>
    </w:rPr>
  </w:style>
  <w:style w:type="character" w:customStyle="1" w:styleId="TematkomentarzaZnak">
    <w:name w:val="Temat komentarza Znak"/>
    <w:link w:val="Tematkomentarza"/>
    <w:rsid w:val="00B363B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5A32"/>
    <w:rPr>
      <w:color w:val="808080"/>
      <w:shd w:val="clear" w:color="auto" w:fill="E6E6E6"/>
    </w:rPr>
  </w:style>
  <w:style w:type="paragraph" w:styleId="Zwykytekst">
    <w:name w:val="Plain Text"/>
    <w:basedOn w:val="Normalny"/>
    <w:link w:val="ZwykytekstZnak"/>
    <w:uiPriority w:val="99"/>
    <w:unhideWhenUsed/>
    <w:rsid w:val="001C287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C287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A8D6D-B1DD-4453-A784-4A7DCCEB7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4119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dnia 11</vt:lpstr>
      <vt:lpstr>Warszawa, dnia 11</vt:lpstr>
    </vt:vector>
  </TitlesOfParts>
  <Company>Instytut Transportu Samochodowego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11</dc:title>
  <dc:creator>bartosz.szczepanski</dc:creator>
  <cp:lastModifiedBy>Kamil Socha</cp:lastModifiedBy>
  <cp:revision>3</cp:revision>
  <cp:lastPrinted>2018-07-03T06:30:00Z</cp:lastPrinted>
  <dcterms:created xsi:type="dcterms:W3CDTF">2020-12-07T12:51:00Z</dcterms:created>
  <dcterms:modified xsi:type="dcterms:W3CDTF">2020-12-08T14:01:00Z</dcterms:modified>
</cp:coreProperties>
</file>